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87D4C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 wp14:anchorId="7B2728BA" wp14:editId="28525498">
            <wp:extent cx="6126480" cy="1039368"/>
            <wp:effectExtent l="0" t="0" r="0" b="0"/>
            <wp:docPr id="4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10393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19050" distB="19050" distL="19050" distR="19050" wp14:anchorId="798409C8" wp14:editId="59783132">
            <wp:extent cx="6126480" cy="1039368"/>
            <wp:effectExtent l="0" t="0" r="0" b="0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10393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CFBD234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PROGRAMMA </w:t>
      </w:r>
    </w:p>
    <w:p w14:paraId="13BC1000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2" w:line="459" w:lineRule="auto"/>
        <w:ind w:left="10" w:right="1244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ISTITUTO: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I.I.S.S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“PIETRO SETTE”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ANNO SCOLASTICO 2025/2026 INDIRIZZO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Manutenzione ed Assistenza Tecnica </w:t>
      </w:r>
    </w:p>
    <w:p w14:paraId="30BE9443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240" w:lineRule="auto"/>
        <w:ind w:left="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CLASSE 3 SEZIONE A </w:t>
      </w:r>
    </w:p>
    <w:p w14:paraId="1A4A9407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DISCIPLINA Tecnologie e Tecniche di Installazione E Manutenzione </w:t>
      </w:r>
    </w:p>
    <w:p w14:paraId="3A1D812C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8"/>
        <w:rPr>
          <w:rFonts w:ascii="Times New Roman" w:eastAsia="Times New Roman" w:hAnsi="Times New Roman" w:cs="Times New Roman"/>
          <w:color w:val="2E2E2E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DOCENTE </w:t>
      </w:r>
      <w:r>
        <w:rPr>
          <w:rFonts w:ascii="Times New Roman" w:eastAsia="Times New Roman" w:hAnsi="Times New Roman" w:cs="Times New Roman"/>
          <w:color w:val="2E2E2E"/>
          <w:sz w:val="24"/>
          <w:szCs w:val="24"/>
        </w:rPr>
        <w:t xml:space="preserve">Sozio Filomena – D’Addario Raffaele </w:t>
      </w:r>
    </w:p>
    <w:p w14:paraId="18F14A68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QUADRO ORARIO (N. ore settimanali nella classe) 4 ore settimanali di cui 3 di compresenza </w:t>
      </w:r>
    </w:p>
    <w:p w14:paraId="7BC02DF3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1" w:line="240" w:lineRule="auto"/>
        <w:ind w:left="46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UDA 1: ASSISTENZA TECNICA E MANUTENZIONE </w:t>
      </w:r>
    </w:p>
    <w:p w14:paraId="16AFCFFF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3" w:line="229" w:lineRule="auto"/>
        <w:ind w:left="472" w:right="358" w:hanging="3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⮚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Definizione del problema (problem setting): definizione dei termini del problema e  formulazione della diagnosi </w:t>
      </w:r>
    </w:p>
    <w:p w14:paraId="71CB21E8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" w:line="231" w:lineRule="auto"/>
        <w:ind w:left="465" w:right="359" w:hanging="3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⮚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Soluzione del problema (problem solving): strategie risolutive, sequenza degli interventi,  mezzi e metodi di lavoro, tempistiche, fabbisogno di ricambi. </w:t>
      </w:r>
    </w:p>
    <w:p w14:paraId="18E0AAEF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" w:line="240" w:lineRule="auto"/>
        <w:ind w:left="1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⮚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Condizioni di emergenza: interventi tampone </w:t>
      </w:r>
    </w:p>
    <w:p w14:paraId="7E0A4ACB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1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⮚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Definizione e ambiti della manutenzione </w:t>
      </w:r>
    </w:p>
    <w:p w14:paraId="6BE441E2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1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⮚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Tipi di manutenzione: </w:t>
      </w:r>
    </w:p>
    <w:p w14:paraId="2EC069EC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99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Manutenzione preventiva (ciclica, predittiva o su condizione) </w:t>
      </w:r>
    </w:p>
    <w:p w14:paraId="26AC4F17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99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Manutenzione a guasto (o correttiva) </w:t>
      </w:r>
    </w:p>
    <w:p w14:paraId="3B62DC5A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99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Manutenzione migliorativa </w:t>
      </w:r>
    </w:p>
    <w:p w14:paraId="5AAC4EF9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99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Manutenzione autonoma </w:t>
      </w:r>
    </w:p>
    <w:p w14:paraId="1F5E7DFA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1" w:line="240" w:lineRule="auto"/>
        <w:ind w:left="46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UDA 2: SICUREZZA E SALUTE NEI LAVORI DI MANUTENZIONE </w:t>
      </w:r>
    </w:p>
    <w:p w14:paraId="0713994B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3" w:line="240" w:lineRule="auto"/>
        <w:ind w:left="1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⮚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Leggi e norme sulla sicurezza nella manutenzione </w:t>
      </w:r>
    </w:p>
    <w:p w14:paraId="15EC91F0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65" w:lineRule="auto"/>
        <w:ind w:left="123" w:right="13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⮚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Legislazione in materia di sicurezza e salute nei luoghi di lavoro D.lgs. n. 81/2008 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⮚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Azioni di sicurezza nella manutenzione </w:t>
      </w:r>
    </w:p>
    <w:p w14:paraId="2FA766CD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65" w:lineRule="auto"/>
        <w:ind w:left="123" w:right="7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⮚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Dispositivi e azioni di prevenzione infortuni in lavori elettrici, meccanici e termotecnici 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⮚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Dispositivi di protezione individuale (DPI)</w:t>
      </w:r>
    </w:p>
    <w:p w14:paraId="441F8C4E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19050" distB="19050" distL="19050" distR="19050" wp14:anchorId="73042899" wp14:editId="019662D5">
            <wp:extent cx="6126480" cy="1039368"/>
            <wp:effectExtent l="0" t="0" r="0" b="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10393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19050" distB="19050" distL="19050" distR="19050" wp14:anchorId="015A3291" wp14:editId="7C528617">
            <wp:extent cx="6126480" cy="1039368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10393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9567145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5" w:lineRule="auto"/>
        <w:ind w:left="992" w:right="90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Rischi elettrici, meccanici, termici, chimici, biologici, dispositivi antirumore • (DPI) Smart </w:t>
      </w:r>
    </w:p>
    <w:p w14:paraId="54440AE1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493" w:lineRule="auto"/>
        <w:ind w:left="469" w:right="661" w:firstLine="52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Grado di tossicità degli elementi (dose letale) e sostanze cancerogene (amianto)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UDA 3: TUTELA AMBIENTALE NELLA MANUTENZIONE </w:t>
      </w:r>
    </w:p>
    <w:p w14:paraId="51623706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" w:line="240" w:lineRule="auto"/>
        <w:ind w:left="1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⮚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Tipi di inquinamento ambientale: atmosferico, idrico e del suolo </w:t>
      </w:r>
    </w:p>
    <w:p w14:paraId="3FE5C07D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1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⮚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Enti pubblici di controllo dell’inquinamento:  </w:t>
      </w:r>
    </w:p>
    <w:p w14:paraId="6C16570C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99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Ministero dell’Ambiente e della Tutela del Territorio </w:t>
      </w:r>
    </w:p>
    <w:p w14:paraId="301646D2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99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Comando Carabinieri per la Tutela dell’Ambiente </w:t>
      </w:r>
    </w:p>
    <w:p w14:paraId="61A7A9A6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99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Agenzie Regionali per la Protezione Ambientale (ARPA) </w:t>
      </w:r>
    </w:p>
    <w:p w14:paraId="78242A74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29" w:lineRule="auto"/>
        <w:ind w:left="471" w:right="358" w:hanging="3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⮚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Consorzi per riciclo dei materiali e la tutela dell'ambiente (CONAI, COBAT) e la raccolta  differenziata nei lavori di manutenzione </w:t>
      </w:r>
    </w:p>
    <w:p w14:paraId="1E7DAC96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9" w:line="228" w:lineRule="auto"/>
        <w:ind w:left="469" w:right="141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UDA 4: PRODUZIONE DI ENERGIA ELETTRICA DA FONTI  RINNOVABILI E NON RINNOVABILI </w:t>
      </w:r>
    </w:p>
    <w:p w14:paraId="5652C77D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6" w:line="231" w:lineRule="auto"/>
        <w:ind w:left="470" w:right="359" w:hanging="3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⮚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Richiami sui concetti di energia, lavoro e potenza, sulle relative relazioni fra queste  grandezze fisiche e sulle rispettive unità di misura (kWh, kW) </w:t>
      </w:r>
    </w:p>
    <w:p w14:paraId="40BBEDD0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" w:line="264" w:lineRule="auto"/>
        <w:ind w:left="123" w:right="6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⮚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 forme di energia: meccanica, termica, chimica, potenziale gravitazionale, elettrica 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⮚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Fonti di energia primarie e secondarie, rinnovabili e non rinnovabili: vantaggi e svantaggi 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⮚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Impianti Termoelettrici (da fonti non rinnovabili) </w:t>
      </w:r>
    </w:p>
    <w:p w14:paraId="049F1185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40" w:lineRule="auto"/>
        <w:ind w:left="1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⮚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Impianti Idroelettrici, Eolici, Fotovoltaici, Geotermici, da Biomasse (da fonti rinnovabili) </w:t>
      </w:r>
    </w:p>
    <w:p w14:paraId="656FBD55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09" w:line="240" w:lineRule="auto"/>
        <w:ind w:left="46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UDA 5: IMPIANTI FOTOVOLTAICI </w:t>
      </w:r>
    </w:p>
    <w:p w14:paraId="0ABF518E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3" w:line="230" w:lineRule="auto"/>
        <w:ind w:left="471" w:right="359" w:hanging="3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⮚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cella Fotovoltaica: introduzione all'effetto fotovoltaico; studio delle tecnologie del silicio  (monocristallino, policristallino e amorfo) e analisi dei relativi intervalli di rendimento in  condizioni standard.  </w:t>
      </w:r>
    </w:p>
    <w:p w14:paraId="68A868BC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" w:line="229" w:lineRule="auto"/>
        <w:ind w:left="462" w:right="358" w:hanging="3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⮚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Studio della curva caratteristica Tensione-Corrente di una cella: definizione della tensione  di circuito aperto (Voc) e della corrente di corto circuito (Isc), MPP (punto di massima  potenza), dipendenza della caratteristica dalla temperatura esterna e dall'intensità  dell'irraggiamento solare, Condizioni Standard (STC) di misura dei parametri elettrici della  cella. </w:t>
      </w:r>
    </w:p>
    <w:p w14:paraId="1FC6DE53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" w:line="229" w:lineRule="auto"/>
        <w:ind w:left="470" w:right="359" w:hanging="3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⮚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Tipologie impiantistiche: sistemi isolati (Off-Grid), connessi alla rete (On-Grid) e sistemi  ibridi. Componenti dell'impianto (inverter, batterie, quadro elettrico, contatore)</w:t>
      </w:r>
    </w:p>
    <w:p w14:paraId="2B4BCA74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19050" distB="19050" distL="19050" distR="19050" wp14:anchorId="04EF2C83" wp14:editId="668B4407">
            <wp:extent cx="6126480" cy="1039368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10393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19050" distB="19050" distL="19050" distR="19050" wp14:anchorId="07BDA15B" wp14:editId="10E3C740">
            <wp:extent cx="6126480" cy="1039368"/>
            <wp:effectExtent l="0" t="0" r="0" b="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10393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5A295BE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1" w:lineRule="auto"/>
        <w:ind w:left="473" w:right="359" w:hanging="3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⮚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Producibilità dei campi fotovoltaici: dipendenza dalla latitudine del sito, dall'orientamento  (azimut) e dall'inclinazione (tilt) dei pannelli. </w:t>
      </w:r>
    </w:p>
    <w:p w14:paraId="19574615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" w:line="229" w:lineRule="auto"/>
        <w:ind w:left="462" w:right="358" w:hanging="3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⮚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Dimensionamento di un campo fotovoltaico con vincoli minimi: calcolo del numero di  pannelli necessari per ottenere una determinata potenza, collegamento dei pannelli in serie  (stringa) e in parallelo (di più stringhe), calcolo della V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tot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I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tot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del campo. </w:t>
      </w:r>
    </w:p>
    <w:p w14:paraId="442865FA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" w:line="230" w:lineRule="auto"/>
        <w:ind w:left="464" w:right="359" w:hanging="3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⮚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Calcolo dell'energia annuale prodotta da un impianto fotovoltaico a partire dalla potenza  nominale di picco, mediante l'uso delle tabelle (ENEA): ore equivalenti del sito e coefficienti di produttività in funzione di latitudine, orientamento e inclinazione. </w:t>
      </w:r>
    </w:p>
    <w:p w14:paraId="5CDCF332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5" w:line="240" w:lineRule="auto"/>
        <w:ind w:left="46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ATTIVITA’ DI LABORATORIO </w:t>
      </w:r>
    </w:p>
    <w:p w14:paraId="236ABB07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6" w:line="229" w:lineRule="auto"/>
        <w:ind w:left="467" w:right="358" w:hanging="3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⮚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Rilievo Metrico, Disegno e Modellazione Virtuale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rilievo metrico del Laboratorio di  Robotica dell'Istituto e uso della piattaforma digitale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TinkerCad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per la riproduzione grafica  e la ricostruzione tridimensionale del laboratorio rilevato </w:t>
      </w:r>
    </w:p>
    <w:p w14:paraId="5095CAAB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4" w:line="229" w:lineRule="auto"/>
        <w:ind w:left="465" w:right="358" w:hanging="3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⮚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Strumentazione, Misure Elettriche e Circuiti su Breadboard: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codice colore dei resistori cablaggio su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breadboard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circuiti resistivi (serie, parallelo, misti), alimentazione dei  circuiti e rilievo sperimentale delle misure di tensione e corrente, stesura guidata di relazioni  tecniche di laboratorio sulle esercitazioni eseguite </w:t>
      </w:r>
    </w:p>
    <w:p w14:paraId="1D8CD4C5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6" w:line="229" w:lineRule="auto"/>
        <w:ind w:left="472" w:right="430" w:hanging="3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⮚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Simulazione su piattaforma TinkerCad di pannelli fotovoltaici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collegati in serie (stringa) e parallelo (più stringhe). Introduzione ai datasheet dei pannelli fotovoltaici </w:t>
      </w:r>
    </w:p>
    <w:p w14:paraId="3ECB4A74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6" w:line="229" w:lineRule="auto"/>
        <w:ind w:left="471" w:right="358" w:hanging="3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⮚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Disegno Elettrico e Simulazione (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CADe-SIMU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):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funzionalità base del software di disegno  e simulazione elettrica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CADe-SIMU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per la rappresentazione di circuiti di potenza e di  comando. Avviamento e marcia per motori asincroni trifase (MAT) </w:t>
      </w:r>
    </w:p>
    <w:p w14:paraId="17F42985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77" w:line="229" w:lineRule="auto"/>
        <w:ind w:left="6668" w:right="1039" w:hanging="6648"/>
        <w:rPr>
          <w:rFonts w:ascii="Times New Roman" w:eastAsia="Times New Roman" w:hAnsi="Times New Roman" w:cs="Times New Roman"/>
          <w:color w:val="2E2E2E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Santeramo in Colle, 6 Giugno 2026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 docenti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F.to </w:t>
      </w:r>
      <w:r>
        <w:rPr>
          <w:rFonts w:ascii="Times New Roman" w:eastAsia="Times New Roman" w:hAnsi="Times New Roman" w:cs="Times New Roman"/>
          <w:color w:val="2E2E2E"/>
          <w:sz w:val="24"/>
          <w:szCs w:val="24"/>
        </w:rPr>
        <w:t xml:space="preserve">Sozio Filomena </w:t>
      </w:r>
    </w:p>
    <w:p w14:paraId="0CE9A3F1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8" w:line="240" w:lineRule="auto"/>
        <w:ind w:right="634"/>
        <w:jc w:val="right"/>
        <w:rPr>
          <w:rFonts w:ascii="Times New Roman" w:eastAsia="Times New Roman" w:hAnsi="Times New Roman" w:cs="Times New Roman"/>
          <w:color w:val="2E2E2E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F.to </w:t>
      </w:r>
      <w:r>
        <w:rPr>
          <w:rFonts w:ascii="Times New Roman" w:eastAsia="Times New Roman" w:hAnsi="Times New Roman" w:cs="Times New Roman"/>
          <w:color w:val="2E2E2E"/>
          <w:sz w:val="24"/>
          <w:szCs w:val="24"/>
        </w:rPr>
        <w:t xml:space="preserve">D’Addario Raffaele </w:t>
      </w:r>
    </w:p>
    <w:p w14:paraId="7A43191B" w14:textId="77777777" w:rsidR="004B63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6" w:line="240" w:lineRule="auto"/>
        <w:ind w:right="1492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Gli alunni</w:t>
      </w:r>
    </w:p>
    <w:sectPr w:rsidR="004B636C">
      <w:pgSz w:w="11900" w:h="16820"/>
      <w:pgMar w:top="700" w:right="1129" w:bottom="1218" w:left="1128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A45C9CB-D6AA-4865-99D1-03DFF97AE290}"/>
  </w:font>
  <w:font w:name="Noto Sans Symbols">
    <w:charset w:val="00"/>
    <w:family w:val="auto"/>
    <w:pitch w:val="default"/>
    <w:embedRegular r:id="rId2" w:fontKey="{F0F3CAE5-4F55-438B-B009-D08D845CA02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31773CB6-6A64-4540-BB12-A4F63DD27F3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B72B77F-7883-4426-96F1-568FC5B4A61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36C"/>
    <w:rsid w:val="004B636C"/>
    <w:rsid w:val="00661341"/>
    <w:rsid w:val="00C8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62807"/>
  <w15:docId w15:val="{3EBA08E9-E700-478D-8B59-0296895C2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764</Words>
  <Characters>4355</Characters>
  <Application>Microsoft Office Word</Application>
  <DocSecurity>0</DocSecurity>
  <Lines>36</Lines>
  <Paragraphs>10</Paragraphs>
  <ScaleCrop>false</ScaleCrop>
  <Company/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Fujitsu</cp:lastModifiedBy>
  <cp:revision>2</cp:revision>
  <dcterms:created xsi:type="dcterms:W3CDTF">2026-07-06T15:10:00Z</dcterms:created>
  <dcterms:modified xsi:type="dcterms:W3CDTF">2026-07-06T15:10:00Z</dcterms:modified>
</cp:coreProperties>
</file>